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91E0" w14:textId="77777777" w:rsidR="009C6709" w:rsidRPr="009C6709" w:rsidRDefault="009C6709" w:rsidP="009C6709">
      <w:pPr>
        <w:contextualSpacing/>
        <w:jc w:val="right"/>
        <w:rPr>
          <w:rFonts w:ascii="Times New Roman" w:hAnsi="Times New Roman" w:cs="Times New Roman"/>
          <w:sz w:val="19"/>
          <w:szCs w:val="19"/>
        </w:rPr>
      </w:pPr>
      <w:r w:rsidRPr="009C6709">
        <w:rPr>
          <w:rFonts w:ascii="Times New Roman" w:hAnsi="Times New Roman" w:cs="Times New Roman"/>
          <w:sz w:val="19"/>
          <w:szCs w:val="19"/>
        </w:rPr>
        <w:t>4 priedas</w:t>
      </w:r>
    </w:p>
    <w:p w14:paraId="4E44E410" w14:textId="77777777" w:rsidR="00155530" w:rsidRPr="005C798C" w:rsidRDefault="00155530" w:rsidP="00716A77">
      <w:pPr>
        <w:spacing w:after="120"/>
        <w:jc w:val="center"/>
        <w:rPr>
          <w:rFonts w:ascii="Times New Roman" w:hAnsi="Times New Roman" w:cs="Times New Roman"/>
          <w:b/>
          <w:sz w:val="19"/>
          <w:szCs w:val="19"/>
        </w:rPr>
      </w:pPr>
      <w:r w:rsidRPr="00AB0296">
        <w:rPr>
          <w:rFonts w:ascii="Times New Roman" w:hAnsi="Times New Roman" w:cs="Times New Roman"/>
          <w:b/>
          <w:sz w:val="19"/>
          <w:szCs w:val="19"/>
        </w:rPr>
        <w:t>SUTIKIMAS DĖL NEPILNAMEČIO ASMENS DUOMENŲ TVARKYMO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134"/>
        <w:gridCol w:w="567"/>
        <w:gridCol w:w="1134"/>
      </w:tblGrid>
      <w:tr w:rsidR="00716A77" w14:paraId="34048481" w14:textId="77777777" w:rsidTr="00704A45">
        <w:trPr>
          <w:jc w:val="center"/>
        </w:trPr>
        <w:tc>
          <w:tcPr>
            <w:tcW w:w="1701" w:type="dxa"/>
            <w:tcBorders>
              <w:bottom w:val="single" w:sz="4" w:space="0" w:color="auto"/>
            </w:tcBorders>
          </w:tcPr>
          <w:p w14:paraId="36019484" w14:textId="77777777" w:rsidR="00716A77" w:rsidRDefault="00716A77" w:rsidP="00704A45">
            <w:pPr>
              <w:jc w:val="center"/>
            </w:pPr>
          </w:p>
        </w:tc>
        <w:tc>
          <w:tcPr>
            <w:tcW w:w="567" w:type="dxa"/>
          </w:tcPr>
          <w:p w14:paraId="75AB69D6" w14:textId="77777777" w:rsidR="00716A77" w:rsidRDefault="00716A77" w:rsidP="00704A45">
            <w:pPr>
              <w:jc w:val="center"/>
            </w:pPr>
            <w:r>
              <w:t>-</w:t>
            </w:r>
          </w:p>
        </w:tc>
        <w:tc>
          <w:tcPr>
            <w:tcW w:w="1134" w:type="dxa"/>
            <w:tcBorders>
              <w:bottom w:val="single" w:sz="4" w:space="0" w:color="auto"/>
            </w:tcBorders>
          </w:tcPr>
          <w:p w14:paraId="4C08276F" w14:textId="77777777" w:rsidR="00716A77" w:rsidRDefault="00716A77" w:rsidP="00704A45">
            <w:pPr>
              <w:jc w:val="center"/>
            </w:pPr>
          </w:p>
        </w:tc>
        <w:tc>
          <w:tcPr>
            <w:tcW w:w="567" w:type="dxa"/>
          </w:tcPr>
          <w:p w14:paraId="6FDDAE5B" w14:textId="77777777" w:rsidR="00716A77" w:rsidRDefault="00716A77" w:rsidP="00704A45">
            <w:pPr>
              <w:jc w:val="center"/>
            </w:pPr>
            <w:r>
              <w:t>-</w:t>
            </w:r>
          </w:p>
        </w:tc>
        <w:tc>
          <w:tcPr>
            <w:tcW w:w="1134" w:type="dxa"/>
            <w:tcBorders>
              <w:bottom w:val="single" w:sz="4" w:space="0" w:color="auto"/>
            </w:tcBorders>
          </w:tcPr>
          <w:p w14:paraId="2676BB84" w14:textId="77777777" w:rsidR="00716A77" w:rsidRDefault="00716A77" w:rsidP="00704A45">
            <w:pPr>
              <w:jc w:val="center"/>
            </w:pPr>
          </w:p>
        </w:tc>
      </w:tr>
      <w:tr w:rsidR="00716A77" w14:paraId="1A1602BE" w14:textId="77777777" w:rsidTr="00704A45">
        <w:trPr>
          <w:jc w:val="center"/>
        </w:trPr>
        <w:tc>
          <w:tcPr>
            <w:tcW w:w="1701" w:type="dxa"/>
            <w:tcBorders>
              <w:top w:val="single" w:sz="4" w:space="0" w:color="auto"/>
            </w:tcBorders>
          </w:tcPr>
          <w:p w14:paraId="2C5C22A1" w14:textId="77777777" w:rsidR="00716A77" w:rsidRPr="00716A77" w:rsidRDefault="00716A77" w:rsidP="00704A45">
            <w:pPr>
              <w:jc w:val="center"/>
              <w:rPr>
                <w:rFonts w:ascii="Times New Roman" w:hAnsi="Times New Roman" w:cs="Times New Roman"/>
                <w:i/>
                <w:iCs/>
                <w:sz w:val="18"/>
                <w:szCs w:val="18"/>
              </w:rPr>
            </w:pPr>
            <w:r w:rsidRPr="00716A77">
              <w:rPr>
                <w:rFonts w:ascii="Times New Roman" w:hAnsi="Times New Roman" w:cs="Times New Roman"/>
                <w:i/>
                <w:iCs/>
                <w:sz w:val="18"/>
                <w:szCs w:val="18"/>
              </w:rPr>
              <w:t>metai</w:t>
            </w:r>
          </w:p>
        </w:tc>
        <w:tc>
          <w:tcPr>
            <w:tcW w:w="567" w:type="dxa"/>
          </w:tcPr>
          <w:p w14:paraId="65A94531" w14:textId="77777777" w:rsidR="00716A77" w:rsidRPr="00716A77" w:rsidRDefault="00716A77" w:rsidP="00704A45">
            <w:pPr>
              <w:jc w:val="center"/>
              <w:rPr>
                <w:rFonts w:ascii="Times New Roman" w:hAnsi="Times New Roman" w:cs="Times New Roman"/>
                <w:i/>
                <w:iCs/>
                <w:sz w:val="18"/>
                <w:szCs w:val="18"/>
              </w:rPr>
            </w:pPr>
          </w:p>
        </w:tc>
        <w:tc>
          <w:tcPr>
            <w:tcW w:w="1134" w:type="dxa"/>
            <w:tcBorders>
              <w:top w:val="single" w:sz="4" w:space="0" w:color="auto"/>
            </w:tcBorders>
          </w:tcPr>
          <w:p w14:paraId="29D04650" w14:textId="77777777" w:rsidR="00716A77" w:rsidRPr="00716A77" w:rsidRDefault="00716A77" w:rsidP="00704A45">
            <w:pPr>
              <w:jc w:val="center"/>
              <w:rPr>
                <w:rFonts w:ascii="Times New Roman" w:hAnsi="Times New Roman" w:cs="Times New Roman"/>
                <w:i/>
                <w:iCs/>
                <w:sz w:val="18"/>
                <w:szCs w:val="18"/>
              </w:rPr>
            </w:pPr>
            <w:r w:rsidRPr="00716A77">
              <w:rPr>
                <w:rFonts w:ascii="Times New Roman" w:hAnsi="Times New Roman" w:cs="Times New Roman"/>
                <w:i/>
                <w:iCs/>
                <w:sz w:val="18"/>
                <w:szCs w:val="18"/>
              </w:rPr>
              <w:t>mėnuo</w:t>
            </w:r>
          </w:p>
        </w:tc>
        <w:tc>
          <w:tcPr>
            <w:tcW w:w="567" w:type="dxa"/>
          </w:tcPr>
          <w:p w14:paraId="362638EA" w14:textId="77777777" w:rsidR="00716A77" w:rsidRPr="00716A77" w:rsidRDefault="00716A77" w:rsidP="00704A45">
            <w:pPr>
              <w:jc w:val="center"/>
              <w:rPr>
                <w:rFonts w:ascii="Times New Roman" w:hAnsi="Times New Roman" w:cs="Times New Roman"/>
                <w:i/>
                <w:iCs/>
                <w:sz w:val="18"/>
                <w:szCs w:val="18"/>
              </w:rPr>
            </w:pPr>
          </w:p>
        </w:tc>
        <w:tc>
          <w:tcPr>
            <w:tcW w:w="1134" w:type="dxa"/>
            <w:tcBorders>
              <w:top w:val="single" w:sz="4" w:space="0" w:color="auto"/>
            </w:tcBorders>
          </w:tcPr>
          <w:p w14:paraId="73623847" w14:textId="77777777" w:rsidR="00716A77" w:rsidRPr="00716A77" w:rsidRDefault="00716A77" w:rsidP="00704A45">
            <w:pPr>
              <w:jc w:val="center"/>
              <w:rPr>
                <w:rFonts w:ascii="Times New Roman" w:hAnsi="Times New Roman" w:cs="Times New Roman"/>
                <w:i/>
                <w:iCs/>
                <w:sz w:val="18"/>
                <w:szCs w:val="18"/>
              </w:rPr>
            </w:pPr>
            <w:r w:rsidRPr="00716A77">
              <w:rPr>
                <w:rFonts w:ascii="Times New Roman" w:hAnsi="Times New Roman" w:cs="Times New Roman"/>
                <w:i/>
                <w:iCs/>
                <w:sz w:val="18"/>
                <w:szCs w:val="18"/>
              </w:rPr>
              <w:t>diena</w:t>
            </w:r>
          </w:p>
        </w:tc>
      </w:tr>
    </w:tbl>
    <w:p w14:paraId="7DF22A5A" w14:textId="77777777" w:rsidR="00716A77" w:rsidRDefault="00716A77" w:rsidP="00155530">
      <w:pPr>
        <w:contextualSpacing/>
        <w:jc w:val="center"/>
        <w:rPr>
          <w:rFonts w:ascii="Times New Roman" w:hAnsi="Times New Roman" w:cs="Times New Roman"/>
          <w:sz w:val="19"/>
          <w:szCs w:val="19"/>
        </w:rPr>
      </w:pPr>
    </w:p>
    <w:p w14:paraId="43EE21AA" w14:textId="7092B2CC" w:rsidR="00155530" w:rsidRPr="00AB0296" w:rsidRDefault="00716A77" w:rsidP="00155530">
      <w:pPr>
        <w:contextualSpacing/>
        <w:jc w:val="center"/>
        <w:rPr>
          <w:rFonts w:ascii="Times New Roman" w:hAnsi="Times New Roman" w:cs="Times New Roman"/>
          <w:sz w:val="19"/>
          <w:szCs w:val="19"/>
        </w:rPr>
      </w:pPr>
      <w:r>
        <w:rPr>
          <w:rFonts w:ascii="Times New Roman" w:hAnsi="Times New Roman" w:cs="Times New Roman"/>
          <w:sz w:val="19"/>
          <w:szCs w:val="19"/>
        </w:rPr>
        <w:t>Mažeikiai</w:t>
      </w:r>
    </w:p>
    <w:p w14:paraId="6A4C9F8C" w14:textId="77777777" w:rsidR="00155530" w:rsidRDefault="00155530" w:rsidP="00155530">
      <w:pPr>
        <w:contextualSpacing/>
        <w:jc w:val="both"/>
        <w:rPr>
          <w:rFonts w:ascii="Times New Roman" w:hAnsi="Times New Roman" w:cs="Times New Roman"/>
          <w:sz w:val="19"/>
          <w:szCs w:val="19"/>
        </w:rPr>
      </w:pPr>
    </w:p>
    <w:tbl>
      <w:tblPr>
        <w:tblStyle w:val="TableGrid"/>
        <w:tblpPr w:leftFromText="180" w:rightFromText="180" w:vertAnchor="text" w:horzAnchor="page" w:tblpX="1777" w:tblpY="-60"/>
        <w:tblW w:w="0" w:type="auto"/>
        <w:tblLook w:val="04A0" w:firstRow="1" w:lastRow="0" w:firstColumn="1" w:lastColumn="0" w:noHBand="0" w:noVBand="1"/>
      </w:tblPr>
      <w:tblGrid>
        <w:gridCol w:w="7371"/>
      </w:tblGrid>
      <w:tr w:rsidR="00B21F3C" w14:paraId="58B4C753" w14:textId="77777777" w:rsidTr="00B21F3C">
        <w:trPr>
          <w:trHeight w:val="258"/>
        </w:trPr>
        <w:tc>
          <w:tcPr>
            <w:tcW w:w="7371" w:type="dxa"/>
            <w:tcBorders>
              <w:top w:val="nil"/>
              <w:left w:val="nil"/>
              <w:bottom w:val="single" w:sz="4" w:space="0" w:color="auto"/>
              <w:right w:val="nil"/>
            </w:tcBorders>
          </w:tcPr>
          <w:p w14:paraId="18CBACE7" w14:textId="77777777" w:rsidR="00B21F3C" w:rsidRDefault="00B21F3C" w:rsidP="00B21F3C">
            <w:pPr>
              <w:contextualSpacing/>
              <w:jc w:val="both"/>
              <w:rPr>
                <w:rFonts w:ascii="Times New Roman" w:hAnsi="Times New Roman" w:cs="Times New Roman"/>
                <w:sz w:val="19"/>
                <w:szCs w:val="19"/>
              </w:rPr>
            </w:pPr>
          </w:p>
        </w:tc>
      </w:tr>
    </w:tbl>
    <w:p w14:paraId="1891ABC8" w14:textId="3713915F" w:rsidR="00155530" w:rsidRDefault="00B21F3C" w:rsidP="00155530">
      <w:pPr>
        <w:contextualSpacing/>
        <w:jc w:val="both"/>
        <w:rPr>
          <w:rFonts w:ascii="Times New Roman" w:hAnsi="Times New Roman" w:cs="Times New Roman"/>
          <w:sz w:val="19"/>
          <w:szCs w:val="19"/>
        </w:rPr>
      </w:pPr>
      <w:r>
        <w:rPr>
          <w:rFonts w:ascii="Times New Roman" w:hAnsi="Times New Roman" w:cs="Times New Roman"/>
          <w:sz w:val="19"/>
          <w:szCs w:val="19"/>
        </w:rPr>
        <w:t>A</w:t>
      </w:r>
      <w:r w:rsidR="00155530" w:rsidRPr="00AB0296">
        <w:rPr>
          <w:rFonts w:ascii="Times New Roman" w:hAnsi="Times New Roman" w:cs="Times New Roman"/>
          <w:sz w:val="19"/>
          <w:szCs w:val="19"/>
        </w:rPr>
        <w:t xml:space="preserve">š (toliau – </w:t>
      </w:r>
      <w:r w:rsidR="00155530" w:rsidRPr="00AB0296">
        <w:rPr>
          <w:rFonts w:ascii="Times New Roman" w:hAnsi="Times New Roman" w:cs="Times New Roman"/>
          <w:b/>
          <w:sz w:val="19"/>
          <w:szCs w:val="19"/>
        </w:rPr>
        <w:t>Atstovas</w:t>
      </w:r>
      <w:r w:rsidR="00155530" w:rsidRPr="00AB0296">
        <w:rPr>
          <w:rFonts w:ascii="Times New Roman" w:hAnsi="Times New Roman" w:cs="Times New Roman"/>
          <w:sz w:val="19"/>
          <w:szCs w:val="19"/>
        </w:rPr>
        <w:t xml:space="preserve">), </w:t>
      </w:r>
    </w:p>
    <w:p w14:paraId="2777DD0B" w14:textId="7520439A" w:rsidR="00155530" w:rsidRDefault="00B21F3C" w:rsidP="00B21F3C">
      <w:pPr>
        <w:contextualSpacing/>
        <w:rPr>
          <w:rFonts w:ascii="Times New Roman" w:hAnsi="Times New Roman" w:cs="Times New Roman"/>
          <w:sz w:val="16"/>
          <w:szCs w:val="16"/>
        </w:rPr>
      </w:pPr>
      <w:r>
        <w:rPr>
          <w:rFonts w:ascii="Times New Roman" w:hAnsi="Times New Roman" w:cs="Times New Roman"/>
          <w:sz w:val="16"/>
          <w:szCs w:val="16"/>
        </w:rPr>
        <w:t xml:space="preserve">                                                                       </w:t>
      </w:r>
      <w:r w:rsidR="00155530" w:rsidRPr="005C798C">
        <w:rPr>
          <w:rFonts w:ascii="Times New Roman" w:hAnsi="Times New Roman" w:cs="Times New Roman"/>
          <w:sz w:val="16"/>
          <w:szCs w:val="16"/>
        </w:rPr>
        <w:t>(tėvo, mamos, globėjo, vardas, pavardė)</w:t>
      </w:r>
    </w:p>
    <w:p w14:paraId="2F09D29A" w14:textId="77777777" w:rsidR="00B21F3C" w:rsidRPr="005C798C" w:rsidRDefault="00B21F3C" w:rsidP="00155530">
      <w:pPr>
        <w:contextualSpacing/>
        <w:jc w:val="center"/>
        <w:rPr>
          <w:rFonts w:ascii="Times New Roman" w:hAnsi="Times New Roman" w:cs="Times New Roman"/>
          <w:sz w:val="16"/>
          <w:szCs w:val="16"/>
        </w:rPr>
      </w:pPr>
    </w:p>
    <w:tbl>
      <w:tblPr>
        <w:tblStyle w:val="TableGrid"/>
        <w:tblpPr w:leftFromText="180" w:rightFromText="180" w:vertAnchor="text" w:horzAnchor="page" w:tblpX="2593" w:tblpY="-21"/>
        <w:tblW w:w="0" w:type="auto"/>
        <w:tblLook w:val="04A0" w:firstRow="1" w:lastRow="0" w:firstColumn="1" w:lastColumn="0" w:noHBand="0" w:noVBand="1"/>
      </w:tblPr>
      <w:tblGrid>
        <w:gridCol w:w="6804"/>
      </w:tblGrid>
      <w:tr w:rsidR="00B21F3C" w14:paraId="61F9EEF9" w14:textId="77777777" w:rsidTr="00B21F3C">
        <w:trPr>
          <w:trHeight w:val="249"/>
        </w:trPr>
        <w:tc>
          <w:tcPr>
            <w:tcW w:w="6804" w:type="dxa"/>
            <w:tcBorders>
              <w:top w:val="nil"/>
              <w:left w:val="nil"/>
              <w:bottom w:val="single" w:sz="4" w:space="0" w:color="auto"/>
              <w:right w:val="nil"/>
            </w:tcBorders>
          </w:tcPr>
          <w:p w14:paraId="58A235E1" w14:textId="77777777" w:rsidR="00B21F3C" w:rsidRDefault="00B21F3C" w:rsidP="00B21F3C">
            <w:pPr>
              <w:contextualSpacing/>
              <w:jc w:val="both"/>
              <w:rPr>
                <w:rFonts w:ascii="Times New Roman" w:hAnsi="Times New Roman" w:cs="Times New Roman"/>
                <w:sz w:val="19"/>
                <w:szCs w:val="19"/>
              </w:rPr>
            </w:pPr>
          </w:p>
        </w:tc>
      </w:tr>
    </w:tbl>
    <w:p w14:paraId="3C67AA1D" w14:textId="577C0BF6" w:rsidR="00155530" w:rsidRDefault="00155530" w:rsidP="00155530">
      <w:pPr>
        <w:contextualSpacing/>
        <w:jc w:val="both"/>
        <w:rPr>
          <w:rFonts w:ascii="Times New Roman" w:hAnsi="Times New Roman" w:cs="Times New Roman"/>
          <w:sz w:val="19"/>
          <w:szCs w:val="19"/>
        </w:rPr>
      </w:pPr>
      <w:r>
        <w:rPr>
          <w:rFonts w:ascii="Times New Roman" w:hAnsi="Times New Roman" w:cs="Times New Roman"/>
          <w:sz w:val="19"/>
          <w:szCs w:val="19"/>
        </w:rPr>
        <w:t>a</w:t>
      </w:r>
      <w:r w:rsidRPr="00155530">
        <w:rPr>
          <w:rFonts w:ascii="Times New Roman" w:hAnsi="Times New Roman" w:cs="Times New Roman"/>
          <w:sz w:val="19"/>
          <w:szCs w:val="19"/>
        </w:rPr>
        <w:t>tstovaujantis</w:t>
      </w:r>
      <w:r>
        <w:rPr>
          <w:rFonts w:ascii="Times New Roman" w:hAnsi="Times New Roman" w:cs="Times New Roman"/>
          <w:sz w:val="19"/>
          <w:szCs w:val="19"/>
        </w:rPr>
        <w:t xml:space="preserve"> </w:t>
      </w:r>
      <w:r w:rsidRPr="00AB0296">
        <w:rPr>
          <w:rFonts w:ascii="Times New Roman" w:hAnsi="Times New Roman" w:cs="Times New Roman"/>
          <w:sz w:val="19"/>
          <w:szCs w:val="19"/>
        </w:rPr>
        <w:t>(toliau –</w:t>
      </w:r>
      <w:r>
        <w:rPr>
          <w:rFonts w:ascii="Times New Roman" w:hAnsi="Times New Roman" w:cs="Times New Roman"/>
          <w:sz w:val="19"/>
          <w:szCs w:val="19"/>
        </w:rPr>
        <w:t xml:space="preserve"> </w:t>
      </w:r>
      <w:r w:rsidRPr="00AB0296">
        <w:rPr>
          <w:rFonts w:ascii="Times New Roman" w:hAnsi="Times New Roman" w:cs="Times New Roman"/>
          <w:b/>
          <w:sz w:val="19"/>
          <w:szCs w:val="19"/>
        </w:rPr>
        <w:t>Auklėtinis</w:t>
      </w:r>
      <w:r w:rsidRPr="00AB0296">
        <w:rPr>
          <w:rFonts w:ascii="Times New Roman" w:hAnsi="Times New Roman" w:cs="Times New Roman"/>
          <w:sz w:val="19"/>
          <w:szCs w:val="19"/>
        </w:rPr>
        <w:t>)</w:t>
      </w:r>
    </w:p>
    <w:p w14:paraId="7870E25D" w14:textId="77777777" w:rsidR="00B21F3C" w:rsidRDefault="00B21F3C" w:rsidP="00B21F3C">
      <w:pPr>
        <w:spacing w:before="480" w:after="480"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p>
    <w:p w14:paraId="6FF6006F" w14:textId="79C5D831" w:rsidR="00155530" w:rsidRPr="00155530" w:rsidRDefault="00155530" w:rsidP="00716A77">
      <w:pPr>
        <w:spacing w:after="0" w:line="240" w:lineRule="auto"/>
        <w:contextualSpacing/>
        <w:jc w:val="center"/>
        <w:rPr>
          <w:rFonts w:ascii="Times New Roman" w:hAnsi="Times New Roman" w:cs="Times New Roman"/>
          <w:sz w:val="16"/>
          <w:szCs w:val="16"/>
        </w:rPr>
      </w:pPr>
      <w:r w:rsidRPr="005C798C">
        <w:rPr>
          <w:rFonts w:ascii="Times New Roman" w:hAnsi="Times New Roman" w:cs="Times New Roman"/>
          <w:sz w:val="16"/>
          <w:szCs w:val="16"/>
        </w:rPr>
        <w:t>(vaiko vardas</w:t>
      </w:r>
      <w:r w:rsidR="00716A77">
        <w:rPr>
          <w:rFonts w:ascii="Times New Roman" w:hAnsi="Times New Roman" w:cs="Times New Roman"/>
          <w:sz w:val="16"/>
          <w:szCs w:val="16"/>
        </w:rPr>
        <w:t>, pavardė</w:t>
      </w:r>
      <w:r w:rsidR="00B21F3C">
        <w:rPr>
          <w:rFonts w:ascii="Times New Roman" w:hAnsi="Times New Roman" w:cs="Times New Roman"/>
          <w:sz w:val="16"/>
          <w:szCs w:val="16"/>
        </w:rPr>
        <w:t>)</w:t>
      </w:r>
    </w:p>
    <w:p w14:paraId="4C6E3C0D" w14:textId="77777777" w:rsidR="00B21F3C" w:rsidRDefault="00B21F3C" w:rsidP="00A041ED">
      <w:pPr>
        <w:contextualSpacing/>
        <w:jc w:val="both"/>
        <w:rPr>
          <w:rFonts w:ascii="Times New Roman" w:hAnsi="Times New Roman" w:cs="Times New Roman"/>
          <w:b/>
          <w:sz w:val="19"/>
          <w:szCs w:val="19"/>
        </w:rPr>
      </w:pPr>
    </w:p>
    <w:p w14:paraId="4B7BA3BA" w14:textId="6DDCD898" w:rsidR="00A041ED" w:rsidRPr="00AB0296" w:rsidRDefault="00A041ED" w:rsidP="00716A77">
      <w:pPr>
        <w:spacing w:before="120" w:after="120" w:line="240" w:lineRule="auto"/>
        <w:jc w:val="both"/>
        <w:rPr>
          <w:rFonts w:ascii="Times New Roman" w:hAnsi="Times New Roman" w:cs="Times New Roman"/>
          <w:sz w:val="19"/>
          <w:szCs w:val="19"/>
        </w:rPr>
      </w:pPr>
      <w:r w:rsidRPr="00AB0296">
        <w:rPr>
          <w:rFonts w:ascii="Times New Roman" w:hAnsi="Times New Roman" w:cs="Times New Roman"/>
          <w:b/>
          <w:sz w:val="19"/>
          <w:szCs w:val="19"/>
        </w:rPr>
        <w:t>Sutinku</w:t>
      </w:r>
      <w:r w:rsidRPr="00AB0296">
        <w:rPr>
          <w:rFonts w:ascii="Times New Roman" w:hAnsi="Times New Roman" w:cs="Times New Roman"/>
          <w:sz w:val="19"/>
          <w:szCs w:val="19"/>
        </w:rPr>
        <w:t xml:space="preserve">, kad duomenų valdytojas </w:t>
      </w:r>
      <w:r w:rsidR="00B90E55">
        <w:rPr>
          <w:rFonts w:ascii="Times New Roman" w:hAnsi="Times New Roman" w:cs="Times New Roman"/>
          <w:b/>
          <w:sz w:val="19"/>
          <w:szCs w:val="19"/>
        </w:rPr>
        <w:t>Asociacija „FK Atmosfera</w:t>
      </w:r>
      <w:r w:rsidRPr="003A3F4E">
        <w:rPr>
          <w:rFonts w:ascii="Times New Roman" w:hAnsi="Times New Roman" w:cs="Times New Roman"/>
          <w:b/>
          <w:sz w:val="19"/>
          <w:szCs w:val="19"/>
        </w:rPr>
        <w:t>“</w:t>
      </w:r>
      <w:r w:rsidRPr="00AB0296">
        <w:rPr>
          <w:rFonts w:ascii="Times New Roman" w:hAnsi="Times New Roman" w:cs="Times New Roman"/>
          <w:sz w:val="19"/>
          <w:szCs w:val="19"/>
        </w:rPr>
        <w:t xml:space="preserve">, juridinio asmens kodas – </w:t>
      </w:r>
      <w:r w:rsidR="00B90E55">
        <w:rPr>
          <w:rFonts w:ascii="Times New Roman" w:hAnsi="Times New Roman" w:cs="Times New Roman"/>
          <w:b/>
          <w:sz w:val="19"/>
          <w:szCs w:val="19"/>
        </w:rPr>
        <w:t>302741823</w:t>
      </w:r>
      <w:r w:rsidRPr="00AB0296">
        <w:rPr>
          <w:rFonts w:ascii="Times New Roman" w:hAnsi="Times New Roman" w:cs="Times New Roman"/>
          <w:sz w:val="19"/>
          <w:szCs w:val="19"/>
        </w:rPr>
        <w:t xml:space="preserve">, </w:t>
      </w:r>
      <w:r>
        <w:rPr>
          <w:rFonts w:ascii="Times New Roman" w:hAnsi="Times New Roman" w:cs="Times New Roman"/>
          <w:sz w:val="19"/>
          <w:szCs w:val="19"/>
        </w:rPr>
        <w:t xml:space="preserve">juridinio asmens buveinė – </w:t>
      </w:r>
      <w:r w:rsidR="00B90E55">
        <w:rPr>
          <w:rFonts w:ascii="Times New Roman" w:hAnsi="Times New Roman" w:cs="Times New Roman"/>
          <w:sz w:val="19"/>
          <w:szCs w:val="19"/>
        </w:rPr>
        <w:t xml:space="preserve">Montuotojų g. </w:t>
      </w:r>
      <w:r w:rsidR="00B90E55">
        <w:rPr>
          <w:rFonts w:ascii="Times New Roman" w:hAnsi="Times New Roman" w:cs="Times New Roman"/>
          <w:sz w:val="19"/>
          <w:szCs w:val="19"/>
          <w:lang w:val="en-US"/>
        </w:rPr>
        <w:t>12</w:t>
      </w:r>
      <w:r w:rsidR="00B90E55">
        <w:rPr>
          <w:rFonts w:ascii="Times New Roman" w:hAnsi="Times New Roman" w:cs="Times New Roman"/>
          <w:sz w:val="19"/>
          <w:szCs w:val="19"/>
        </w:rPr>
        <w:t>, Mažeikiai,</w:t>
      </w:r>
      <w:r w:rsidRPr="00AB0296">
        <w:rPr>
          <w:rFonts w:ascii="Times New Roman" w:hAnsi="Times New Roman" w:cs="Times New Roman"/>
          <w:sz w:val="19"/>
          <w:szCs w:val="19"/>
        </w:rPr>
        <w:t xml:space="preserve"> Tel. Nr. </w:t>
      </w:r>
      <w:r w:rsidR="00B90E55">
        <w:rPr>
          <w:rFonts w:ascii="Times New Roman" w:hAnsi="Times New Roman" w:cs="Times New Roman"/>
          <w:sz w:val="19"/>
          <w:szCs w:val="19"/>
          <w:lang w:val="en-US"/>
        </w:rPr>
        <w:t>+37068039908</w:t>
      </w:r>
      <w:r w:rsidRPr="00AB0296">
        <w:rPr>
          <w:rFonts w:ascii="Times New Roman" w:hAnsi="Times New Roman" w:cs="Times New Roman"/>
          <w:sz w:val="19"/>
          <w:szCs w:val="19"/>
        </w:rPr>
        <w:t>, El. Paštas</w:t>
      </w:r>
      <w:r w:rsidRPr="00B90E55">
        <w:rPr>
          <w:rFonts w:ascii="Times New Roman" w:hAnsi="Times New Roman" w:cs="Times New Roman"/>
          <w:color w:val="000000" w:themeColor="text1"/>
          <w:sz w:val="19"/>
          <w:szCs w:val="19"/>
        </w:rPr>
        <w:t xml:space="preserve"> </w:t>
      </w:r>
      <w:hyperlink r:id="rId4" w:history="1">
        <w:r w:rsidR="00B90E55" w:rsidRPr="00B90E55">
          <w:rPr>
            <w:rStyle w:val="Hyperlink"/>
            <w:rFonts w:ascii="Times New Roman" w:hAnsi="Times New Roman" w:cs="Times New Roman"/>
            <w:color w:val="000000" w:themeColor="text1"/>
            <w:sz w:val="19"/>
            <w:szCs w:val="19"/>
            <w:u w:val="none"/>
          </w:rPr>
          <w:t>info@fkatmosfera.eu</w:t>
        </w:r>
      </w:hyperlink>
      <w:r w:rsidR="00B90E55">
        <w:rPr>
          <w:rFonts w:ascii="Times New Roman" w:hAnsi="Times New Roman" w:cs="Times New Roman"/>
          <w:sz w:val="19"/>
          <w:szCs w:val="19"/>
        </w:rPr>
        <w:t xml:space="preserve"> </w:t>
      </w:r>
      <w:r w:rsidRPr="00AB0296">
        <w:rPr>
          <w:rFonts w:ascii="Times New Roman" w:hAnsi="Times New Roman" w:cs="Times New Roman"/>
          <w:sz w:val="19"/>
          <w:szCs w:val="19"/>
        </w:rPr>
        <w:t xml:space="preserve">(toliau – </w:t>
      </w:r>
      <w:r w:rsidRPr="00AB0296">
        <w:rPr>
          <w:rFonts w:ascii="Times New Roman" w:hAnsi="Times New Roman" w:cs="Times New Roman"/>
          <w:b/>
          <w:sz w:val="19"/>
          <w:szCs w:val="19"/>
        </w:rPr>
        <w:t>Duomenų valdytojas</w:t>
      </w:r>
      <w:r w:rsidRPr="00AB0296">
        <w:rPr>
          <w:rFonts w:ascii="Times New Roman" w:hAnsi="Times New Roman" w:cs="Times New Roman"/>
          <w:sz w:val="19"/>
          <w:szCs w:val="19"/>
        </w:rPr>
        <w:t xml:space="preserve">) gautų </w:t>
      </w:r>
      <w:proofErr w:type="gramStart"/>
      <w:r w:rsidRPr="00AB0296">
        <w:rPr>
          <w:rFonts w:ascii="Times New Roman" w:hAnsi="Times New Roman" w:cs="Times New Roman"/>
          <w:sz w:val="19"/>
          <w:szCs w:val="19"/>
        </w:rPr>
        <w:t>ir  tvarkytų</w:t>
      </w:r>
      <w:proofErr w:type="gramEnd"/>
      <w:r w:rsidRPr="00AB0296">
        <w:rPr>
          <w:rFonts w:ascii="Times New Roman" w:hAnsi="Times New Roman" w:cs="Times New Roman"/>
          <w:sz w:val="19"/>
          <w:szCs w:val="19"/>
        </w:rPr>
        <w:t xml:space="preserve"> asmens duomenis šiais tikslais: </w:t>
      </w:r>
    </w:p>
    <w:p w14:paraId="2B0751FE" w14:textId="14FACC6E" w:rsidR="00155530" w:rsidRDefault="00155530" w:rsidP="00716A77">
      <w:pPr>
        <w:spacing w:before="120" w:after="120"/>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Royal </w:t>
      </w:r>
      <w:proofErr w:type="spellStart"/>
      <w:r w:rsidRPr="00AB0296">
        <w:rPr>
          <w:rFonts w:ascii="Times New Roman" w:hAnsi="Times New Roman" w:cs="Times New Roman"/>
          <w:sz w:val="19"/>
          <w:szCs w:val="19"/>
        </w:rPr>
        <w:t>Sporting</w:t>
      </w:r>
      <w:proofErr w:type="spellEnd"/>
      <w:r w:rsidRPr="00AB0296">
        <w:rPr>
          <w:rFonts w:ascii="Times New Roman" w:hAnsi="Times New Roman" w:cs="Times New Roman"/>
          <w:sz w:val="19"/>
          <w:szCs w:val="19"/>
        </w:rPr>
        <w:t xml:space="preserve"> Club Anderle</w:t>
      </w:r>
      <w:r>
        <w:rPr>
          <w:rFonts w:ascii="Times New Roman" w:hAnsi="Times New Roman" w:cs="Times New Roman"/>
          <w:sz w:val="19"/>
          <w:szCs w:val="19"/>
        </w:rPr>
        <w:t>c</w:t>
      </w:r>
      <w:r w:rsidRPr="00AB0296">
        <w:rPr>
          <w:rFonts w:ascii="Times New Roman" w:hAnsi="Times New Roman" w:cs="Times New Roman"/>
          <w:sz w:val="19"/>
          <w:szCs w:val="19"/>
        </w:rPr>
        <w:t xml:space="preserve">ht NV, Lietuvos futbolo federacija ir Duomenų valdytojas sudarė partnerystės ir bendradarbiavimo sutartis, kurių tikslas yra tobulinti Lietuvoje veikiančių futbolo akademijų darbą, pagerinti Lietuvos futbolo akademijose žaidžiančių auklėtinių talentų atskleidimą, optimizuoti Lietuvoje veikiančių futbolo akademijų treniruotes, konsultuotis su Royal </w:t>
      </w:r>
      <w:proofErr w:type="spellStart"/>
      <w:r w:rsidRPr="00AB0296">
        <w:rPr>
          <w:rFonts w:ascii="Times New Roman" w:hAnsi="Times New Roman" w:cs="Times New Roman"/>
          <w:sz w:val="19"/>
          <w:szCs w:val="19"/>
        </w:rPr>
        <w:t>Sporting</w:t>
      </w:r>
      <w:proofErr w:type="spellEnd"/>
      <w:r w:rsidRPr="00AB0296">
        <w:rPr>
          <w:rFonts w:ascii="Times New Roman" w:hAnsi="Times New Roman" w:cs="Times New Roman"/>
          <w:sz w:val="19"/>
          <w:szCs w:val="19"/>
        </w:rPr>
        <w:t xml:space="preserve"> Club </w:t>
      </w:r>
      <w:proofErr w:type="spellStart"/>
      <w:r w:rsidRPr="00AB0296">
        <w:rPr>
          <w:rFonts w:ascii="Times New Roman" w:hAnsi="Times New Roman" w:cs="Times New Roman"/>
          <w:sz w:val="19"/>
          <w:szCs w:val="19"/>
        </w:rPr>
        <w:t>Anderleht</w:t>
      </w:r>
      <w:proofErr w:type="spellEnd"/>
      <w:r w:rsidRPr="00AB0296">
        <w:rPr>
          <w:rFonts w:ascii="Times New Roman" w:hAnsi="Times New Roman" w:cs="Times New Roman"/>
          <w:sz w:val="19"/>
          <w:szCs w:val="19"/>
        </w:rPr>
        <w:t xml:space="preserve"> NV atstovais, pagerinti Lietuvos futbolo akademijose žaidžiančių auklėtinių </w:t>
      </w:r>
      <w:proofErr w:type="spellStart"/>
      <w:r w:rsidRPr="00AB0296">
        <w:rPr>
          <w:rFonts w:ascii="Times New Roman" w:hAnsi="Times New Roman" w:cs="Times New Roman"/>
          <w:sz w:val="19"/>
          <w:szCs w:val="19"/>
        </w:rPr>
        <w:t>skautingo</w:t>
      </w:r>
      <w:proofErr w:type="spellEnd"/>
      <w:r w:rsidRPr="00AB0296">
        <w:rPr>
          <w:rFonts w:ascii="Times New Roman" w:hAnsi="Times New Roman" w:cs="Times New Roman"/>
          <w:sz w:val="19"/>
          <w:szCs w:val="19"/>
        </w:rPr>
        <w:t xml:space="preserve"> galimybes. Su šiame sutikime nurodytais duomenimis taip pat bus supažindinti ir Auklėtinių Atstovai, tuo tikslu, jog būtų atskleidžiamas Auklėtinių tobulėjimas.</w:t>
      </w:r>
    </w:p>
    <w:p w14:paraId="74814810" w14:textId="77777777" w:rsidR="00716A77" w:rsidRPr="00AB0296" w:rsidRDefault="00716A77" w:rsidP="00716A77">
      <w:pPr>
        <w:spacing w:before="120" w:after="120"/>
        <w:contextualSpacing/>
        <w:jc w:val="both"/>
        <w:rPr>
          <w:rFonts w:ascii="Times New Roman" w:hAnsi="Times New Roman" w:cs="Times New Roman"/>
          <w:sz w:val="19"/>
          <w:szCs w:val="19"/>
        </w:rPr>
      </w:pPr>
    </w:p>
    <w:p w14:paraId="28621605" w14:textId="77777777" w:rsidR="00155530" w:rsidRPr="00AB0296" w:rsidRDefault="00155530" w:rsidP="00716A77">
      <w:pPr>
        <w:spacing w:before="120" w:after="120"/>
        <w:contextualSpacing/>
        <w:jc w:val="both"/>
        <w:rPr>
          <w:rFonts w:ascii="Times New Roman" w:hAnsi="Times New Roman" w:cs="Times New Roman"/>
          <w:b/>
          <w:sz w:val="19"/>
          <w:szCs w:val="19"/>
        </w:rPr>
      </w:pPr>
      <w:r w:rsidRPr="00AB0296">
        <w:rPr>
          <w:rFonts w:ascii="Times New Roman" w:hAnsi="Times New Roman" w:cs="Times New Roman"/>
          <w:b/>
          <w:sz w:val="19"/>
          <w:szCs w:val="19"/>
        </w:rPr>
        <w:t xml:space="preserve">Royal </w:t>
      </w:r>
      <w:proofErr w:type="spellStart"/>
      <w:r w:rsidRPr="00AB0296">
        <w:rPr>
          <w:rFonts w:ascii="Times New Roman" w:hAnsi="Times New Roman" w:cs="Times New Roman"/>
          <w:b/>
          <w:sz w:val="19"/>
          <w:szCs w:val="19"/>
        </w:rPr>
        <w:t>Sporting</w:t>
      </w:r>
      <w:proofErr w:type="spellEnd"/>
      <w:r w:rsidRPr="00AB0296">
        <w:rPr>
          <w:rFonts w:ascii="Times New Roman" w:hAnsi="Times New Roman" w:cs="Times New Roman"/>
          <w:b/>
          <w:sz w:val="19"/>
          <w:szCs w:val="19"/>
        </w:rPr>
        <w:t xml:space="preserve"> Club Anderle</w:t>
      </w:r>
      <w:r>
        <w:rPr>
          <w:rFonts w:ascii="Times New Roman" w:hAnsi="Times New Roman" w:cs="Times New Roman"/>
          <w:b/>
          <w:sz w:val="19"/>
          <w:szCs w:val="19"/>
        </w:rPr>
        <w:t>c</w:t>
      </w:r>
      <w:r w:rsidRPr="00AB0296">
        <w:rPr>
          <w:rFonts w:ascii="Times New Roman" w:hAnsi="Times New Roman" w:cs="Times New Roman"/>
          <w:b/>
          <w:sz w:val="19"/>
          <w:szCs w:val="19"/>
        </w:rPr>
        <w:t xml:space="preserve">ht NV, Lietuvos futbolo federacijos ir Duomenų valdytojo partnerysčių ir bendradarbiavimo sutarčių įgyvendinimo tikslais, </w:t>
      </w:r>
      <w:proofErr w:type="spellStart"/>
      <w:r w:rsidRPr="00AB0296">
        <w:rPr>
          <w:rFonts w:ascii="Times New Roman" w:hAnsi="Times New Roman" w:cs="Times New Roman"/>
          <w:b/>
          <w:sz w:val="19"/>
          <w:szCs w:val="19"/>
        </w:rPr>
        <w:t>skautingo</w:t>
      </w:r>
      <w:proofErr w:type="spellEnd"/>
      <w:r w:rsidRPr="00AB0296">
        <w:rPr>
          <w:rFonts w:ascii="Times New Roman" w:hAnsi="Times New Roman" w:cs="Times New Roman"/>
          <w:b/>
          <w:sz w:val="19"/>
          <w:szCs w:val="19"/>
        </w:rPr>
        <w:t xml:space="preserve"> tikslais, talentų atskleidimo tikslais  talpinant duomenis į „PROSOCCERDATA“ platformą yra gaunami ir tvarkomi šie duomenys:</w:t>
      </w:r>
    </w:p>
    <w:p w14:paraId="55F395DB" w14:textId="1EB67F2E" w:rsidR="00155530" w:rsidRDefault="00155530" w:rsidP="00155530">
      <w:pPr>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Auklėtinio vardas, pavardė, nuotrauka, gimimo data, lytis, tautybė, treniruočių ir varžybų statistikos duomenys, vertinimas apie Auklėtinio pasiekimus ir sugebėjimus, filmuota treniruočių ir varžybų medžiaga, fiziologiniai duomenys, tokie kaip pavyzdžiui šuolis, greitis, futbolo technika kitos fizinės savybes susijusios su futbolo žaidimu, duomenys susiję su futbolo žaidimo supratimu, kaip pavyzdžiui futbolo taktikos supratimas, futbolo IQ, charakterio savybės susijusios su futbolo žaidimu, sveikatos duomenys </w:t>
      </w:r>
      <w:r>
        <w:rPr>
          <w:rFonts w:ascii="Times New Roman" w:hAnsi="Times New Roman" w:cs="Times New Roman"/>
          <w:sz w:val="19"/>
          <w:szCs w:val="19"/>
        </w:rPr>
        <w:t>susiję</w:t>
      </w:r>
      <w:r w:rsidRPr="00AB0296">
        <w:rPr>
          <w:rFonts w:ascii="Times New Roman" w:hAnsi="Times New Roman" w:cs="Times New Roman"/>
          <w:sz w:val="19"/>
          <w:szCs w:val="19"/>
        </w:rPr>
        <w:t xml:space="preserve"> su futbolo žaidimu, kaip pavyzdžiui patiriamos traumos</w:t>
      </w:r>
      <w:r>
        <w:rPr>
          <w:rFonts w:ascii="Times New Roman" w:hAnsi="Times New Roman" w:cs="Times New Roman"/>
          <w:sz w:val="19"/>
          <w:szCs w:val="19"/>
        </w:rPr>
        <w:t>.</w:t>
      </w:r>
    </w:p>
    <w:p w14:paraId="5A39DACE" w14:textId="77777777" w:rsidR="00716A77" w:rsidRDefault="00716A77" w:rsidP="00155530">
      <w:pPr>
        <w:contextualSpacing/>
        <w:jc w:val="both"/>
        <w:rPr>
          <w:rFonts w:ascii="Times New Roman" w:hAnsi="Times New Roman" w:cs="Times New Roman"/>
          <w:sz w:val="19"/>
          <w:szCs w:val="19"/>
        </w:rPr>
      </w:pPr>
    </w:p>
    <w:p w14:paraId="7CC8DCCE" w14:textId="77777777" w:rsidR="00155530" w:rsidRPr="00AB0296" w:rsidRDefault="00155530" w:rsidP="00155530">
      <w:pPr>
        <w:contextualSpacing/>
        <w:jc w:val="both"/>
        <w:rPr>
          <w:rFonts w:ascii="Times New Roman" w:hAnsi="Times New Roman" w:cs="Times New Roman"/>
          <w:sz w:val="19"/>
          <w:szCs w:val="19"/>
        </w:rPr>
      </w:pPr>
      <w:r>
        <w:rPr>
          <w:rFonts w:ascii="Times New Roman" w:hAnsi="Times New Roman" w:cs="Times New Roman"/>
          <w:sz w:val="19"/>
          <w:szCs w:val="19"/>
        </w:rPr>
        <w:t>Auklėtinio arba jo Atstovo</w:t>
      </w:r>
      <w:r w:rsidRPr="00AB0296">
        <w:rPr>
          <w:rFonts w:ascii="Times New Roman" w:hAnsi="Times New Roman" w:cs="Times New Roman"/>
          <w:sz w:val="19"/>
          <w:szCs w:val="19"/>
        </w:rPr>
        <w:t xml:space="preserve"> „PROSOCCERDATA“ paskyros naudotojo vardas ir slaptažodis, informacija apie prisijungimą (IP adresas, prisijungimo vietos duomenys)</w:t>
      </w:r>
      <w:r>
        <w:rPr>
          <w:rFonts w:ascii="Times New Roman" w:hAnsi="Times New Roman" w:cs="Times New Roman"/>
          <w:sz w:val="19"/>
          <w:szCs w:val="19"/>
        </w:rPr>
        <w:t>, elektroninio pašto adresas, asmeninis telefono numeris</w:t>
      </w:r>
      <w:r w:rsidRPr="00AB0296">
        <w:rPr>
          <w:rFonts w:ascii="Times New Roman" w:hAnsi="Times New Roman" w:cs="Times New Roman"/>
          <w:sz w:val="19"/>
          <w:szCs w:val="19"/>
        </w:rPr>
        <w:t xml:space="preserve">. </w:t>
      </w:r>
    </w:p>
    <w:p w14:paraId="62BAED17" w14:textId="788BFB88" w:rsidR="00155530" w:rsidRDefault="00155530" w:rsidP="00155530">
      <w:pPr>
        <w:contextualSpacing/>
        <w:jc w:val="both"/>
        <w:rPr>
          <w:rFonts w:ascii="Times New Roman" w:hAnsi="Times New Roman" w:cs="Times New Roman"/>
          <w:sz w:val="19"/>
          <w:szCs w:val="19"/>
        </w:rPr>
      </w:pPr>
      <w:r w:rsidRPr="00AB0296">
        <w:rPr>
          <w:rFonts w:ascii="Times New Roman" w:hAnsi="Times New Roman" w:cs="Times New Roman"/>
          <w:sz w:val="19"/>
          <w:szCs w:val="19"/>
        </w:rPr>
        <w:t>Nurodytus duomenis tvarkys</w:t>
      </w:r>
      <w:r>
        <w:rPr>
          <w:rFonts w:ascii="Times New Roman" w:hAnsi="Times New Roman" w:cs="Times New Roman"/>
          <w:sz w:val="19"/>
          <w:szCs w:val="19"/>
        </w:rPr>
        <w:t xml:space="preserve"> Akademijos, </w:t>
      </w:r>
      <w:r w:rsidRPr="00AB0296">
        <w:rPr>
          <w:rFonts w:ascii="Times New Roman" w:hAnsi="Times New Roman" w:cs="Times New Roman"/>
          <w:sz w:val="19"/>
          <w:szCs w:val="19"/>
        </w:rPr>
        <w:t xml:space="preserve">LFF </w:t>
      </w:r>
      <w:r>
        <w:rPr>
          <w:rFonts w:ascii="Times New Roman" w:hAnsi="Times New Roman" w:cs="Times New Roman"/>
          <w:sz w:val="19"/>
          <w:szCs w:val="19"/>
        </w:rPr>
        <w:t>ir „</w:t>
      </w:r>
      <w:proofErr w:type="spellStart"/>
      <w:r>
        <w:rPr>
          <w:rFonts w:ascii="Times New Roman" w:hAnsi="Times New Roman" w:cs="Times New Roman"/>
          <w:sz w:val="19"/>
          <w:szCs w:val="19"/>
        </w:rPr>
        <w:t>ProsoccerData</w:t>
      </w:r>
      <w:proofErr w:type="spellEnd"/>
      <w:r>
        <w:rPr>
          <w:rFonts w:ascii="Times New Roman" w:hAnsi="Times New Roman" w:cs="Times New Roman"/>
          <w:sz w:val="19"/>
          <w:szCs w:val="19"/>
        </w:rPr>
        <w:t xml:space="preserve"> NV“ </w:t>
      </w:r>
      <w:r w:rsidRPr="00AB0296">
        <w:rPr>
          <w:rFonts w:ascii="Times New Roman" w:hAnsi="Times New Roman" w:cs="Times New Roman"/>
          <w:sz w:val="19"/>
          <w:szCs w:val="19"/>
        </w:rPr>
        <w:t xml:space="preserve">atstovai, įsipareigoję laikytis asmens duomenų tvarkymo konfidencialumo reikalavimų tuo tikslu, jog asmens duomenys būtų patalpinti į „PROSOCCERDATA“ platformą, taip pat tuo tikslu, jog būtų vykdoma partnerystės ir bendradarbiavimo sutarčių vykdymo kontrolė. Su duomenimis taip pat galės supažinti Royal </w:t>
      </w:r>
      <w:proofErr w:type="spellStart"/>
      <w:r w:rsidRPr="00AB0296">
        <w:rPr>
          <w:rFonts w:ascii="Times New Roman" w:hAnsi="Times New Roman" w:cs="Times New Roman"/>
          <w:sz w:val="19"/>
          <w:szCs w:val="19"/>
        </w:rPr>
        <w:t>Sporting</w:t>
      </w:r>
      <w:proofErr w:type="spellEnd"/>
      <w:r w:rsidRPr="00AB0296">
        <w:rPr>
          <w:rFonts w:ascii="Times New Roman" w:hAnsi="Times New Roman" w:cs="Times New Roman"/>
          <w:sz w:val="19"/>
          <w:szCs w:val="19"/>
        </w:rPr>
        <w:t xml:space="preserve"> Club Anderle</w:t>
      </w:r>
      <w:r>
        <w:rPr>
          <w:rFonts w:ascii="Times New Roman" w:hAnsi="Times New Roman" w:cs="Times New Roman"/>
          <w:sz w:val="19"/>
          <w:szCs w:val="19"/>
        </w:rPr>
        <w:t>c</w:t>
      </w:r>
      <w:r w:rsidRPr="00AB0296">
        <w:rPr>
          <w:rFonts w:ascii="Times New Roman" w:hAnsi="Times New Roman" w:cs="Times New Roman"/>
          <w:sz w:val="19"/>
          <w:szCs w:val="19"/>
        </w:rPr>
        <w:t xml:space="preserve">ht NV atstovai, įsipareigoję laikytis asmens duomenų tvarkymo konfidencialumo reikalavimų, tuo tikslu, jog būtų įgyvendinamos partnerystės ir bendradarbiavimo sutartys. </w:t>
      </w:r>
    </w:p>
    <w:p w14:paraId="2D3D836C" w14:textId="77777777" w:rsidR="00716A77" w:rsidRPr="00AB0296" w:rsidRDefault="00716A77" w:rsidP="00155530">
      <w:pPr>
        <w:contextualSpacing/>
        <w:jc w:val="both"/>
        <w:rPr>
          <w:rFonts w:ascii="Times New Roman" w:hAnsi="Times New Roman" w:cs="Times New Roman"/>
          <w:sz w:val="19"/>
          <w:szCs w:val="19"/>
        </w:rPr>
      </w:pPr>
    </w:p>
    <w:p w14:paraId="341EDFAC" w14:textId="77777777" w:rsidR="00155530" w:rsidRPr="00AB0296" w:rsidRDefault="00155530" w:rsidP="00155530">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 xml:space="preserve">Duomenų valdytojui perduoti duomenys bus tvarkomi iki sutartinių prievolių, susijusių su tarp Atstovo ir Duomenų valdytojo sudarytos sportinio ugdymo paslaugų teikimo sutarties, pasibaigimo dienos arba šio sutikimo atšaukimo dienos. </w:t>
      </w:r>
    </w:p>
    <w:p w14:paraId="4BE11767" w14:textId="77777777" w:rsidR="00155530" w:rsidRPr="00AB0296" w:rsidRDefault="00155530" w:rsidP="00155530">
      <w:pPr>
        <w:contextualSpacing/>
        <w:jc w:val="both"/>
        <w:rPr>
          <w:rFonts w:ascii="Times New Roman" w:hAnsi="Times New Roman" w:cs="Times New Roman"/>
          <w:b/>
          <w:sz w:val="19"/>
          <w:szCs w:val="19"/>
        </w:rPr>
      </w:pPr>
      <w:r w:rsidRPr="00AB0296">
        <w:rPr>
          <w:rFonts w:ascii="Times New Roman" w:hAnsi="Times New Roman" w:cs="Times New Roman"/>
          <w:sz w:val="19"/>
          <w:szCs w:val="19"/>
        </w:rPr>
        <w:t xml:space="preserve">Suprantu, kad turiu teisę atsisakyti nuo tokio asmens duomenų tvarkymo, tačiau patvirtinu, jog suprantu, kad atsisakius leisti Duomenų valdytojui tvarkyti aukščiau nurodytus duomenis, šiame sutikime nurodytais tikslais, Duomenų valdytojas negalės įgyvendinti partnerysčių ir bendradarbiavimo sudarytų sutarčių su Lietuvos futbolo federacija ir Royal </w:t>
      </w:r>
      <w:proofErr w:type="spellStart"/>
      <w:r w:rsidRPr="00AB0296">
        <w:rPr>
          <w:rFonts w:ascii="Times New Roman" w:hAnsi="Times New Roman" w:cs="Times New Roman"/>
          <w:sz w:val="19"/>
          <w:szCs w:val="19"/>
        </w:rPr>
        <w:t>Sporting</w:t>
      </w:r>
      <w:proofErr w:type="spellEnd"/>
      <w:r w:rsidRPr="00AB0296">
        <w:rPr>
          <w:rFonts w:ascii="Times New Roman" w:hAnsi="Times New Roman" w:cs="Times New Roman"/>
          <w:sz w:val="19"/>
          <w:szCs w:val="19"/>
        </w:rPr>
        <w:t xml:space="preserve"> Club Anderle</w:t>
      </w:r>
      <w:r>
        <w:rPr>
          <w:rFonts w:ascii="Times New Roman" w:hAnsi="Times New Roman" w:cs="Times New Roman"/>
          <w:sz w:val="19"/>
          <w:szCs w:val="19"/>
        </w:rPr>
        <w:t>c</w:t>
      </w:r>
      <w:r w:rsidRPr="00AB0296">
        <w:rPr>
          <w:rFonts w:ascii="Times New Roman" w:hAnsi="Times New Roman" w:cs="Times New Roman"/>
          <w:sz w:val="19"/>
          <w:szCs w:val="19"/>
        </w:rPr>
        <w:t>ht NV.</w:t>
      </w:r>
    </w:p>
    <w:p w14:paraId="10CCB674" w14:textId="2BE7992E" w:rsidR="00155530" w:rsidRDefault="00155530" w:rsidP="00155530">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Esu informuotas, kad turiu teisę susipažinti su asmens duomenimis ir kaip jie tvarkomi, būti informuotas apie savo asmens duomenų tvarkymą, reikalauti ištaisyti neteisingus, neišsamius, netikslius savo asmens duomenis, nesutikti, kad būtų tvarkomi mano asmens duomenys, atšaukti duotą sutikimą tvarkyti mano pateiktus asmens duomenis, teikti skundą dėl asmens duomenų tvarkymo pažeidimų Valstybinei asmens duomenų apsaugos inspekcijai.</w:t>
      </w:r>
    </w:p>
    <w:p w14:paraId="6EEC5678" w14:textId="77777777" w:rsidR="00716A77" w:rsidRPr="00AB0296" w:rsidRDefault="00716A77" w:rsidP="00155530">
      <w:pPr>
        <w:contextualSpacing/>
        <w:jc w:val="both"/>
        <w:rPr>
          <w:rFonts w:ascii="Times New Roman" w:hAnsi="Times New Roman" w:cs="Times New Roman"/>
          <w:b/>
          <w:sz w:val="19"/>
          <w:szCs w:val="19"/>
        </w:rPr>
      </w:pPr>
    </w:p>
    <w:p w14:paraId="0CDDFCD2" w14:textId="77777777" w:rsidR="00155530" w:rsidRPr="00AB0296" w:rsidRDefault="00155530" w:rsidP="00155530">
      <w:pPr>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Patvirtinu, kad visa mano Duomenų valdytojui pateikta informacija yra išsami ir teisinga, o Duomenų valdytojui pareikalavus sutinku pateikti papildomą informaciją arba dokumentus, patvirtinančius pateiktą informaciją šiame sutikime nurodytiems tikslams pasiekti. Esu informuotas, jog šis sutikimas apie papildomos informacijos arba papildomų dokumentų pateikimą Duomenų valdytojui gali būti atšauktas. </w:t>
      </w:r>
    </w:p>
    <w:p w14:paraId="08539E5F" w14:textId="77777777" w:rsidR="00155530" w:rsidRPr="00AB0296" w:rsidRDefault="00155530" w:rsidP="00155530">
      <w:pPr>
        <w:contextualSpacing/>
        <w:jc w:val="both"/>
        <w:rPr>
          <w:rFonts w:ascii="Times New Roman" w:hAnsi="Times New Roman" w:cs="Times New Roman"/>
          <w:sz w:val="19"/>
          <w:szCs w:val="19"/>
        </w:rPr>
      </w:pPr>
      <w:r w:rsidRPr="00AB0296">
        <w:rPr>
          <w:rFonts w:ascii="Times New Roman" w:hAnsi="Times New Roman" w:cs="Times New Roman"/>
          <w:b/>
          <w:sz w:val="19"/>
          <w:szCs w:val="19"/>
        </w:rPr>
        <w:t xml:space="preserve">Asmens duomenys </w:t>
      </w:r>
      <w:r w:rsidRPr="00AB0296">
        <w:rPr>
          <w:rFonts w:ascii="Times New Roman" w:hAnsi="Times New Roman" w:cs="Times New Roman"/>
          <w:sz w:val="19"/>
          <w:szCs w:val="19"/>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1CC5256F" w14:textId="77777777" w:rsidR="00155530" w:rsidRPr="00AB0296" w:rsidRDefault="00155530" w:rsidP="00155530">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 xml:space="preserve">Pasirašydamas šį sutikimą patvirtinu, jog sutinku, kad mano perduoti duomenys Duomenų valdytojui būtų tvarkomi šiame Sutikime nurodytais tikslais ir sąlygomis ir esu tinkamai informuotas apie mano teises susijusias su asmens duomenų tvarkymu. </w:t>
      </w:r>
    </w:p>
    <w:p w14:paraId="5239E3F2" w14:textId="77777777" w:rsidR="00155530" w:rsidRDefault="00155530" w:rsidP="00155530">
      <w:pPr>
        <w:contextualSpacing/>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567"/>
        <w:gridCol w:w="2549"/>
        <w:gridCol w:w="567"/>
        <w:gridCol w:w="2549"/>
      </w:tblGrid>
      <w:tr w:rsidR="00B90E55" w14:paraId="217ECB24" w14:textId="77777777" w:rsidTr="00B90E55">
        <w:tc>
          <w:tcPr>
            <w:tcW w:w="567" w:type="dxa"/>
            <w:tcBorders>
              <w:right w:val="single" w:sz="4" w:space="0" w:color="auto"/>
            </w:tcBorders>
          </w:tcPr>
          <w:p w14:paraId="50BCDA55" w14:textId="77777777" w:rsidR="00B90E55" w:rsidRDefault="00B90E55" w:rsidP="00B21F3C">
            <w:pPr>
              <w:contextualSpacing/>
              <w:jc w:val="center"/>
              <w:rPr>
                <w:rFonts w:ascii="Times New Roman" w:hAnsi="Times New Roman" w:cs="Times New Roman"/>
                <w:sz w:val="19"/>
                <w:szCs w:val="19"/>
              </w:rPr>
            </w:pPr>
          </w:p>
        </w:tc>
        <w:tc>
          <w:tcPr>
            <w:tcW w:w="2549" w:type="dxa"/>
            <w:tcBorders>
              <w:top w:val="nil"/>
              <w:left w:val="single" w:sz="4" w:space="0" w:color="auto"/>
              <w:bottom w:val="nil"/>
              <w:right w:val="single" w:sz="4" w:space="0" w:color="auto"/>
            </w:tcBorders>
          </w:tcPr>
          <w:p w14:paraId="7810D022" w14:textId="3CA99268" w:rsidR="00B90E55" w:rsidRDefault="00B90E55" w:rsidP="00155530">
            <w:pPr>
              <w:contextualSpacing/>
              <w:jc w:val="both"/>
              <w:rPr>
                <w:rFonts w:ascii="Times New Roman" w:hAnsi="Times New Roman" w:cs="Times New Roman"/>
                <w:sz w:val="19"/>
                <w:szCs w:val="19"/>
              </w:rPr>
            </w:pPr>
            <w:r>
              <w:rPr>
                <w:rFonts w:ascii="Times New Roman" w:hAnsi="Times New Roman" w:cs="Times New Roman"/>
                <w:sz w:val="19"/>
                <w:szCs w:val="19"/>
              </w:rPr>
              <w:t>SUTINKU</w:t>
            </w:r>
          </w:p>
        </w:tc>
        <w:tc>
          <w:tcPr>
            <w:tcW w:w="567" w:type="dxa"/>
            <w:tcBorders>
              <w:left w:val="single" w:sz="4" w:space="0" w:color="auto"/>
              <w:right w:val="single" w:sz="4" w:space="0" w:color="auto"/>
            </w:tcBorders>
          </w:tcPr>
          <w:p w14:paraId="380D9FB7" w14:textId="77777777" w:rsidR="00B90E55" w:rsidRDefault="00B90E55" w:rsidP="00B21F3C">
            <w:pPr>
              <w:contextualSpacing/>
              <w:jc w:val="center"/>
              <w:rPr>
                <w:rFonts w:ascii="Times New Roman" w:hAnsi="Times New Roman" w:cs="Times New Roman"/>
                <w:sz w:val="19"/>
                <w:szCs w:val="19"/>
              </w:rPr>
            </w:pPr>
          </w:p>
        </w:tc>
        <w:tc>
          <w:tcPr>
            <w:tcW w:w="2549" w:type="dxa"/>
            <w:tcBorders>
              <w:top w:val="nil"/>
              <w:left w:val="single" w:sz="4" w:space="0" w:color="auto"/>
              <w:bottom w:val="nil"/>
              <w:right w:val="nil"/>
            </w:tcBorders>
          </w:tcPr>
          <w:p w14:paraId="7DB4F097" w14:textId="332F757B" w:rsidR="00B90E55" w:rsidRDefault="00B90E55" w:rsidP="00155530">
            <w:pPr>
              <w:contextualSpacing/>
              <w:jc w:val="both"/>
              <w:rPr>
                <w:rFonts w:ascii="Times New Roman" w:hAnsi="Times New Roman" w:cs="Times New Roman"/>
                <w:sz w:val="19"/>
                <w:szCs w:val="19"/>
              </w:rPr>
            </w:pPr>
            <w:r>
              <w:rPr>
                <w:rFonts w:ascii="Times New Roman" w:hAnsi="Times New Roman" w:cs="Times New Roman"/>
                <w:sz w:val="19"/>
                <w:szCs w:val="19"/>
              </w:rPr>
              <w:t>NESUTINKU</w:t>
            </w:r>
          </w:p>
        </w:tc>
      </w:tr>
    </w:tbl>
    <w:p w14:paraId="472BB22B" w14:textId="77777777" w:rsidR="00B90E55" w:rsidRDefault="00B90E55" w:rsidP="00155530">
      <w:pPr>
        <w:contextualSpacing/>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3969"/>
        <w:gridCol w:w="567"/>
        <w:gridCol w:w="2268"/>
      </w:tblGrid>
      <w:tr w:rsidR="00B90E55" w14:paraId="1637D3EF" w14:textId="28766BAB" w:rsidTr="00B21F3C">
        <w:trPr>
          <w:trHeight w:val="340"/>
        </w:trPr>
        <w:tc>
          <w:tcPr>
            <w:tcW w:w="3969" w:type="dxa"/>
            <w:tcBorders>
              <w:top w:val="nil"/>
              <w:left w:val="nil"/>
              <w:bottom w:val="single" w:sz="4" w:space="0" w:color="auto"/>
              <w:right w:val="nil"/>
            </w:tcBorders>
          </w:tcPr>
          <w:p w14:paraId="352DCA58" w14:textId="5A674958" w:rsidR="00B90E55" w:rsidRDefault="00B90E55" w:rsidP="00B21F3C">
            <w:pPr>
              <w:tabs>
                <w:tab w:val="left" w:pos="2736"/>
              </w:tabs>
              <w:contextualSpacing/>
              <w:jc w:val="center"/>
              <w:rPr>
                <w:rFonts w:ascii="Times New Roman" w:hAnsi="Times New Roman" w:cs="Times New Roman"/>
                <w:sz w:val="19"/>
                <w:szCs w:val="19"/>
              </w:rPr>
            </w:pPr>
          </w:p>
        </w:tc>
        <w:tc>
          <w:tcPr>
            <w:tcW w:w="567" w:type="dxa"/>
            <w:tcBorders>
              <w:top w:val="nil"/>
              <w:left w:val="nil"/>
              <w:bottom w:val="nil"/>
              <w:right w:val="nil"/>
            </w:tcBorders>
          </w:tcPr>
          <w:p w14:paraId="38B86CEF" w14:textId="77777777" w:rsidR="00B90E55" w:rsidRDefault="00B90E55" w:rsidP="00155530">
            <w:pPr>
              <w:contextualSpacing/>
              <w:jc w:val="both"/>
              <w:rPr>
                <w:rFonts w:ascii="Times New Roman" w:hAnsi="Times New Roman" w:cs="Times New Roman"/>
                <w:sz w:val="19"/>
                <w:szCs w:val="19"/>
              </w:rPr>
            </w:pPr>
          </w:p>
        </w:tc>
        <w:tc>
          <w:tcPr>
            <w:tcW w:w="2268" w:type="dxa"/>
            <w:tcBorders>
              <w:top w:val="nil"/>
              <w:left w:val="nil"/>
              <w:bottom w:val="single" w:sz="4" w:space="0" w:color="auto"/>
              <w:right w:val="nil"/>
            </w:tcBorders>
          </w:tcPr>
          <w:p w14:paraId="620D586F" w14:textId="77777777" w:rsidR="00B90E55" w:rsidRDefault="00B90E55" w:rsidP="00B21F3C">
            <w:pPr>
              <w:contextualSpacing/>
              <w:jc w:val="center"/>
              <w:rPr>
                <w:rFonts w:ascii="Times New Roman" w:hAnsi="Times New Roman" w:cs="Times New Roman"/>
                <w:sz w:val="19"/>
                <w:szCs w:val="19"/>
              </w:rPr>
            </w:pPr>
          </w:p>
        </w:tc>
      </w:tr>
    </w:tbl>
    <w:p w14:paraId="1A941745" w14:textId="435E21EF" w:rsidR="00D27CF9" w:rsidRPr="00B21F3C" w:rsidRDefault="00B21F3C" w:rsidP="00155530">
      <w:pPr>
        <w:contextualSpacing/>
        <w:jc w:val="both"/>
        <w:rPr>
          <w:rFonts w:ascii="Times New Roman" w:hAnsi="Times New Roman" w:cs="Times New Roman"/>
          <w:i/>
          <w:iCs/>
          <w:sz w:val="19"/>
          <w:szCs w:val="19"/>
        </w:rPr>
      </w:pPr>
      <w:r>
        <w:rPr>
          <w:rFonts w:ascii="Times New Roman" w:hAnsi="Times New Roman" w:cs="Times New Roman"/>
          <w:i/>
          <w:iCs/>
          <w:sz w:val="19"/>
          <w:szCs w:val="19"/>
        </w:rPr>
        <w:t xml:space="preserve">                          </w:t>
      </w:r>
      <w:r w:rsidRPr="00B21F3C">
        <w:rPr>
          <w:rFonts w:ascii="Times New Roman" w:hAnsi="Times New Roman" w:cs="Times New Roman"/>
          <w:i/>
          <w:iCs/>
          <w:sz w:val="19"/>
          <w:szCs w:val="19"/>
        </w:rPr>
        <w:t>Vardas, pavardė</w:t>
      </w:r>
      <w:r>
        <w:rPr>
          <w:rFonts w:ascii="Times New Roman" w:hAnsi="Times New Roman" w:cs="Times New Roman"/>
          <w:i/>
          <w:iCs/>
          <w:sz w:val="19"/>
          <w:szCs w:val="19"/>
        </w:rPr>
        <w:t xml:space="preserve">                                                           Parašas</w:t>
      </w:r>
    </w:p>
    <w:sectPr w:rsidR="00D27CF9" w:rsidRPr="00B21F3C" w:rsidSect="009C6709">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30"/>
    <w:rsid w:val="00155530"/>
    <w:rsid w:val="00301993"/>
    <w:rsid w:val="00716A77"/>
    <w:rsid w:val="00764430"/>
    <w:rsid w:val="009C6709"/>
    <w:rsid w:val="00A041ED"/>
    <w:rsid w:val="00B21F3C"/>
    <w:rsid w:val="00B90E55"/>
    <w:rsid w:val="00B92A9E"/>
    <w:rsid w:val="00D27C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D283"/>
  <w15:chartTrackingRefBased/>
  <w15:docId w15:val="{7CFBD35A-B283-40EC-8D28-3F61BC58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709"/>
    <w:rPr>
      <w:rFonts w:ascii="Segoe UI" w:hAnsi="Segoe UI" w:cs="Segoe UI"/>
      <w:sz w:val="18"/>
      <w:szCs w:val="18"/>
    </w:rPr>
  </w:style>
  <w:style w:type="character" w:styleId="Hyperlink">
    <w:name w:val="Hyperlink"/>
    <w:basedOn w:val="DefaultParagraphFont"/>
    <w:uiPriority w:val="99"/>
    <w:unhideWhenUsed/>
    <w:rsid w:val="00B90E55"/>
    <w:rPr>
      <w:color w:val="0563C1" w:themeColor="hyperlink"/>
      <w:u w:val="single"/>
    </w:rPr>
  </w:style>
  <w:style w:type="character" w:styleId="UnresolvedMention">
    <w:name w:val="Unresolved Mention"/>
    <w:basedOn w:val="DefaultParagraphFont"/>
    <w:uiPriority w:val="99"/>
    <w:semiHidden/>
    <w:unhideWhenUsed/>
    <w:rsid w:val="00B90E55"/>
    <w:rPr>
      <w:color w:val="605E5C"/>
      <w:shd w:val="clear" w:color="auto" w:fill="E1DFDD"/>
    </w:rPr>
  </w:style>
  <w:style w:type="table" w:styleId="TableGrid">
    <w:name w:val="Table Grid"/>
    <w:basedOn w:val="TableNormal"/>
    <w:rsid w:val="00B9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katmosfera.e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799</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Giedrius Budginas</cp:lastModifiedBy>
  <cp:revision>2</cp:revision>
  <cp:lastPrinted>2020-02-06T15:36:00Z</cp:lastPrinted>
  <dcterms:created xsi:type="dcterms:W3CDTF">2021-08-01T10:27:00Z</dcterms:created>
  <dcterms:modified xsi:type="dcterms:W3CDTF">2021-08-01T10:27:00Z</dcterms:modified>
</cp:coreProperties>
</file>